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197 vom 10. Mai 1982</w:t>
      </w:r>
    </w:p>
    <w:p>
      <w:r>
        <w:t>Bundesgericht (BGE), 1982-05-10, FR</w:t>
      </w:r>
    </w:p>
    <w:p>
      <w:r>
        <w:rPr>
          <w:b/>
        </w:rPr>
        <w:t xml:space="preserve">Quelle: </w:t>
      </w:r>
      <w:r>
        <w:t>https://mcp.opencaselaw.ch/entscheid/bge_108 IA 197</w:t>
      </w:r>
    </w:p>
    <w:p>
      <w:r>
        <w:t>FR: BGE 108 IA 197 du 10 mai 1982</w:t>
      </w:r>
    </w:p>
    <w:p>
      <w:r>
        <w:t>IT: BGE 108 IA 197 del 10 maggio 1982</w:t>
      </w:r>
    </w:p>
    <w:p>
      <w:pPr>
        <w:pStyle w:val="Heading2"/>
      </w:pPr>
      <w:r>
        <w:t>Regeste</w:t>
      </w:r>
    </w:p>
    <w:p>
      <w:r>
        <w:t>Regeste Schiedsgerichtliches Verfahren; Konkordat über die Schiedsgerichtsbarkeit. 1. Ist das schiedsgerichtliche Verfahren einzustellen, wenn die Ernennung eines Schiedsrichters beim ordentlichen Richter angefochten wird? 2. Die Parteien haben alles zu unterlassen, was ohne zwingende Notwendigkeit den normalen Ablauf des schiedsgerichtlichen Verfahrens verzögern könnte.</w:t>
      </w:r>
    </w:p>
    <w:p>
      <w:pPr>
        <w:pStyle w:val="Heading2"/>
      </w:pPr>
      <w:r>
        <w:t>Erwägungen</w:t>
      </w:r>
    </w:p>
    <w:p>
      <w:r>
        <w:rPr>
          <w:b/>
        </w:rPr>
        <w:t>E. 1</w:t>
      </w:r>
    </w:p>
    <w:p>
      <w:r>
        <w:t>Sous réserve d'exceptions non réalisées en l'espèce, le recours de droit public n'est qu'une voie de cassation. Sont donc irrecevables les conclusions des recourants qui, au-delà de l'annulation des actes attaqués, tendent à faire renvoyer la cause à l'autorité cantonale avec des injonctions ( ATF 106 Ia 54 , ATF 106 Ia 359 et les arrêts cités). BGE 108 Ia 197 S. 200</w:t>
      </w:r>
    </w:p>
    <w:p>
      <w:r>
        <w:rPr>
          <w:b/>
        </w:rPr>
        <w:t>E. 2</w:t>
      </w:r>
    </w:p>
    <w:p>
      <w:r>
        <w:t>a) Les recourants soutiennent que l'autorité cantonale a violé l'art. 36 lettre a du concordat sur l'arbitrage dans son arrêt du 8 septembre 1981, pour avoir rejeté à tort un recours fondé sur cette disposition. Or ils ont expressément admis en procédure cantonale qu'il n'appartenait pas aux autorités suisses mais aux tribunaux helléniques de statuer sur la régularité de la désignation du surarbitre subrogé, et ils ne reprochent pas à la cour cantonale de s'être ralliée à leur point de vue. Leur recours ne saurait donc être fondé sur l'art. 36 lettre a précité, car ils ne peuvent faire grief à l'autorité cantonale d'avoir refusé d'examiner un moyen qui, de leur propre aveu, échappait à sa connaissance. Autant qu'on peut comprendre leur pensée, les recourants reprochent à la cour cantonale d'avoir, en statuant, rendu définitive une sentence émanant d'un tribunal dont la composition était contestée et sera reconnue irrégulière en cas d'admission de l'action pendante sur ce point devant les juridictions helléniques. Cette situation, à leur avis, obligeait tant le tribunal arbitral que l'autorité cantonale de recours à suspendre la procédure et à surseoir à statuer jusqu'à droit connu sur l'action susmentionnée. Il apparaît dès lors que les recourants ne se prévalent pas, en l'état, d'une irrégularité dans la constitution du tribunal arbitral, mais de la violation d'une règle de procédure régissant la conduite de l'instance, au sens de l'art. 36 lettre d du concordat. b) L'art. 36 lettre d du concordat sur l'arbitrage permet aux parties d'obtenir l'annulation de la sentence arbitrale lorsque le tribunal a violé une règle impérative de procédure, au sens de l'art. 25. Le concordat sur l'arbitrage ne contient aucune disposition obligeant les arbitres qui siègent en Suisse à suspendre l'instance si la désignation de l'un d'eux fait l'objet d'une contestation pendante devant une autorité étrangère. Les recourants n'invoquent même pas l'existence d'une telle règle, de sorte que l'on peut se demander si leur moyen n'est pas irrecevable, faute de toute motivation. Ils ne soutiennent pas plus avoir passé une convention de procédure sur ce point, lequel relevait dès lors de la décision des arbitres. Est donc manifestement dénué de tout fondement le grief que les recourants semblent faire à l'autorité cantonale d'avoir violé l'art. 36 du concordat en refusant d'annuler une sentence rendue par un tribunal arbitral qui aurait dû surseoir à statuer. L'art. 45 du concordat laisse aux hautes parties contractantes la compétence de régler chacune la procédure du recours en nullité BGE 108 Ia 197 S. 201 et de la demande de révision. Aucune de ses dispositions ne prévoit pour l'autorité de recours l'obligation de surseoir à statuer jusqu'à droit connu sur une contestation pendante devant une autorité étrangère et qui porte sur la régularité de l'instance arbitrale. La cour cantonale n'a donc pas violé le concordat en refusant de suspendre l'instance de recours.</w:t>
      </w:r>
    </w:p>
    <w:p>
      <w:r>
        <w:rPr>
          <w:b/>
        </w:rPr>
        <w:t>E. 3</w:t>
      </w:r>
    </w:p>
    <w:p>
      <w:r>
        <w:t>Les recourants reprochent à l'autorité cantonale d'avoir appliqué de manière insoutenable l'art. 123 du code de procédure civile vaudois et d'être tombée dans l'arbitraire en refusant la suspension de l'instance de recours. L'article précité dispose que le juge peut suspendre l'instruction du procès pour un temps déterminé en cas de nécessité. Se référant à sa jurisprudence, la cour cantonale l'a jugé inapplicable aux instances de recours qui ne portent que sur des points de droit. Elle a considéré au surplus que les conditions posées par la loi pour une suspension n'étaient pas réunies en l'espèce. Selon la jurisprudence de la cour cantonale, la suspension de l'instance est un acte grave et exceptionnel que ne peuvent justifier que des motifs impérieux, la réalisation effective d'un état de nécessité (JdT 1944 III 70, 1944 III 81). Cette pratique, qui est conforme au texte de la loi, ne saurait être qualifiée d'arbitraire. Et la Cour pouvait légitimement nier en l'espèce l'existence des conditions d'une suspension. L'un des buts de l'arbitrage est de permettre une solution rapide des litiges qui y sont soumis ( ATF 103 Ia 360 ). Les parties qui compromettent sont dès lors tenues par les règles de la bonne foi d'éviter tout ce qui pourrait retarder sans nécessité absolue le déroulement normal de la procédure arbitrale. Il s'ensuit que les intérêts de la partie qui s'oppose à une demande de suspension doivent en principe l'emporter sur ceux du requérant, si ce dernier ne démontre avoir entrepris ce qui était en son pouvoir pour prévenir ou limiter les retards inhérents à sa démarche. Les recourants ont en l'espèce invoqué, à l'appui de leur requête, une procédure pendante en Grèce depuis environ cinq ans, dont l'objet apparaissait relativement limité en fait et en droit. Ils se devaient d'établir que ce retard considérable et même insolite ne leur était pas imputable, qu'ils avaient conduit l'instance de manière diligente et avaient donc fait ce qu'ils pouvaient pour éviter une suspension de la procédure arbitrale ou en limiter la durée. Or ils n'ont fourni aucune explication ou justification sur ce point. La cour cantonale pouvait donc, sans arbitraire, donner la priorité à BGE 108 Ia 197 S. 202 l'intérêt des intimées à faire liquider sans plus tarder un arbitrage qui avait déjà duré plus de huit ans. Et les recourants ne démontrent pas que la Cour ait ainsi sacrifié un intérêt public prépondérant ou méconnu les principes fondamentaux d'une bonne administration de la justice.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